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C" w:rsidRPr="00C82ACC" w:rsidRDefault="00C82ACC" w:rsidP="00141C31">
      <w:pPr>
        <w:tabs>
          <w:tab w:val="left" w:pos="10800"/>
        </w:tabs>
        <w:jc w:val="center"/>
        <w:rPr>
          <w:b/>
          <w:bCs/>
        </w:rPr>
      </w:pPr>
      <w:r w:rsidRPr="00C82ACC">
        <w:rPr>
          <w:b/>
          <w:bCs/>
          <w:sz w:val="32"/>
        </w:rPr>
        <w:t>People’s Leasing &amp; Finance PLC</w:t>
      </w:r>
    </w:p>
    <w:p w:rsidR="00C82ACC" w:rsidRDefault="00C82ACC" w:rsidP="00C82ACC">
      <w:pPr>
        <w:jc w:val="center"/>
      </w:pPr>
    </w:p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</w:rPr>
        <w:t>(A Subsidiary of People’s Bank)</w:t>
      </w:r>
    </w:p>
    <w:p w:rsidR="00C82ACC" w:rsidRDefault="00C82ACC" w:rsidP="00C82ACC">
      <w:pPr>
        <w:jc w:val="center"/>
      </w:pPr>
    </w:p>
    <w:p w:rsidR="00C82ACC" w:rsidRDefault="00C82ACC" w:rsidP="00C82ACC">
      <w:pPr>
        <w:jc w:val="center"/>
      </w:pPr>
      <w:r>
        <w:t>Rated AA-(</w:t>
      </w:r>
      <w:proofErr w:type="spellStart"/>
      <w:r>
        <w:t>lka</w:t>
      </w:r>
      <w:proofErr w:type="spellEnd"/>
      <w:r>
        <w:t xml:space="preserve">) by Fitch Ratings Lanka and </w:t>
      </w:r>
      <w:proofErr w:type="gramStart"/>
      <w:r>
        <w:t>Internationally</w:t>
      </w:r>
      <w:proofErr w:type="gramEnd"/>
      <w:r>
        <w:t xml:space="preserve"> rated B+/B by Standard &amp; Poor’s and B by Fitch Ratings International.</w:t>
      </w:r>
    </w:p>
    <w:p w:rsidR="00C82ACC" w:rsidRDefault="00C82ACC" w:rsidP="00C82ACC">
      <w:pPr>
        <w:jc w:val="center"/>
      </w:pPr>
    </w:p>
    <w:p w:rsidR="00C82ACC" w:rsidRPr="001C53EE" w:rsidRDefault="001C53EE" w:rsidP="00C82ACC">
      <w:pPr>
        <w:jc w:val="center"/>
        <w:rPr>
          <w:b/>
          <w:bCs/>
        </w:rPr>
      </w:pPr>
      <w:r w:rsidRPr="001C53EE">
        <w:rPr>
          <w:b/>
          <w:bCs/>
          <w:sz w:val="28"/>
        </w:rPr>
        <w:t xml:space="preserve">Interim Financial Statements </w:t>
      </w:r>
      <w:r>
        <w:rPr>
          <w:b/>
          <w:bCs/>
          <w:sz w:val="28"/>
        </w:rPr>
        <w:t>f</w:t>
      </w:r>
      <w:r w:rsidRPr="001C53EE">
        <w:rPr>
          <w:b/>
          <w:bCs/>
          <w:sz w:val="28"/>
        </w:rPr>
        <w:t xml:space="preserve">or </w:t>
      </w:r>
      <w:r>
        <w:rPr>
          <w:b/>
          <w:bCs/>
          <w:sz w:val="28"/>
        </w:rPr>
        <w:t>t</w:t>
      </w:r>
      <w:r w:rsidRPr="001C53EE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</w:t>
      </w:r>
      <w:r w:rsidRPr="001C53EE">
        <w:rPr>
          <w:b/>
          <w:bCs/>
          <w:sz w:val="28"/>
        </w:rPr>
        <w:t xml:space="preserve">ix </w:t>
      </w:r>
      <w:r>
        <w:rPr>
          <w:b/>
          <w:bCs/>
          <w:sz w:val="28"/>
        </w:rPr>
        <w:t>m</w:t>
      </w:r>
      <w:r w:rsidRPr="001C53EE">
        <w:rPr>
          <w:b/>
          <w:bCs/>
          <w:sz w:val="28"/>
        </w:rPr>
        <w:t xml:space="preserve">onths </w:t>
      </w:r>
      <w:r>
        <w:rPr>
          <w:b/>
          <w:bCs/>
          <w:sz w:val="28"/>
        </w:rPr>
        <w:t>e</w:t>
      </w:r>
      <w:r w:rsidRPr="001C53EE">
        <w:rPr>
          <w:b/>
          <w:bCs/>
          <w:sz w:val="28"/>
        </w:rPr>
        <w:t>nded 30th September 201</w:t>
      </w:r>
      <w:r w:rsidR="00356BD2">
        <w:rPr>
          <w:b/>
          <w:bCs/>
          <w:sz w:val="28"/>
        </w:rPr>
        <w:t>9</w:t>
      </w:r>
    </w:p>
    <w:p w:rsidR="000769C1" w:rsidRDefault="000769C1" w:rsidP="00C82ACC">
      <w:pPr>
        <w:jc w:val="center"/>
        <w:rPr>
          <w:b/>
          <w:bCs/>
          <w:color w:val="FF0000"/>
        </w:rPr>
      </w:pPr>
    </w:p>
    <w:p w:rsidR="00356BD2" w:rsidRPr="00356BD2" w:rsidRDefault="00356BD2" w:rsidP="00356BD2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356BD2"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  <w:t>STATEMENT OF PROFIT OR LOSS</w:t>
      </w:r>
    </w:p>
    <w:p w:rsidR="00356BD2" w:rsidRDefault="00356BD2" w:rsidP="00C82ACC">
      <w:pPr>
        <w:jc w:val="center"/>
        <w:rPr>
          <w:b/>
          <w:bCs/>
          <w:color w:val="FF0000"/>
        </w:rPr>
      </w:pPr>
    </w:p>
    <w:tbl>
      <w:tblPr>
        <w:tblW w:w="14200" w:type="dxa"/>
        <w:tblInd w:w="108" w:type="dxa"/>
        <w:tblLook w:val="04A0"/>
      </w:tblPr>
      <w:tblGrid>
        <w:gridCol w:w="5276"/>
        <w:gridCol w:w="276"/>
        <w:gridCol w:w="1585"/>
        <w:gridCol w:w="276"/>
        <w:gridCol w:w="1565"/>
        <w:gridCol w:w="276"/>
        <w:gridCol w:w="1057"/>
        <w:gridCol w:w="276"/>
        <w:gridCol w:w="1603"/>
        <w:gridCol w:w="276"/>
        <w:gridCol w:w="1582"/>
        <w:gridCol w:w="276"/>
        <w:gridCol w:w="1056"/>
      </w:tblGrid>
      <w:tr w:rsidR="00356BD2" w:rsidRPr="00356BD2" w:rsidTr="00356BD2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3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2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</w:tr>
      <w:tr w:rsidR="00356BD2" w:rsidRPr="00356BD2" w:rsidTr="00356BD2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</w:tr>
      <w:tr w:rsidR="00356BD2" w:rsidRPr="00356BD2" w:rsidTr="00356BD2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356BD2" w:rsidRPr="00356BD2" w:rsidTr="00356BD2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Restated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Restated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Interest income </w:t>
            </w:r>
          </w:p>
        </w:tc>
        <w:tc>
          <w:tcPr>
            <w:tcW w:w="2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15,942,849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14,759,445 </w:t>
            </w: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8.0 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16,809,667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15,396,860 </w:t>
            </w: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9.2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Less: Interest expense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8,020,494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7,508,114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6.8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8,215,887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7,594,647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8.2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interest income 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7,922,355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7,251,331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9.3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8,593,780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7,802,213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10.1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income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694,112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20.1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473,691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31.9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expenses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Net fee and commission income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694,112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20.1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473,691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31.9 </w:t>
            </w:r>
          </w:p>
        </w:tc>
      </w:tr>
      <w:tr w:rsidR="00356BD2" w:rsidRPr="00356BD2" w:rsidTr="00356BD2">
        <w:trPr>
          <w:trHeight w:val="402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Net earned premiums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2,564,114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2,284,688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12.2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from -FVTPL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(1,487)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(22,843)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(93.5)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(2,271)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(46,238)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(95.1)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Other operating income (net)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4,457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137,396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(96.8)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145,115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188,497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(23.0)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Total operating income 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8,759,147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8,059,996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8.7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11,925,557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10,702,851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11.4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Impairment for loans and other losses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Individual impairment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67,081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(71.5)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67,081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(71.5)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Collective impairment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1,242,966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885,286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40.4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1,219,454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961,003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26.9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Other losses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329,855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89,911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266.9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420,098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89,911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367.2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operating income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7,167,227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7,017,718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2.1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10,266,906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9,584,856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7.1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Less: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Personnel expenses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1,867,828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1,706,606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9.4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2,290,676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2,047,622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11.9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Depreciation of property, plant and equipment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81,566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84,176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(3.1)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175,187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144,327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21.4 </w:t>
            </w:r>
          </w:p>
        </w:tc>
      </w:tr>
      <w:tr w:rsidR="00356BD2" w:rsidRPr="00356BD2" w:rsidTr="00356BD2">
        <w:trPr>
          <w:trHeight w:val="390"/>
        </w:trPr>
        <w:tc>
          <w:tcPr>
            <w:tcW w:w="5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Amortisation</w:t>
            </w:r>
            <w:proofErr w:type="spellEnd"/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and impairment of intangible assets 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36,345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5,808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525.8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37,641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6,890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446.3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Benefits, claims and underwriting expenditure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1,764,822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1,644,018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7.3 </w:t>
            </w:r>
          </w:p>
        </w:tc>
      </w:tr>
      <w:tr w:rsidR="00356BD2" w:rsidRPr="00356BD2" w:rsidTr="00356BD2">
        <w:trPr>
          <w:trHeight w:val="43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Other  operating expenses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1,482,470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1,449,527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2.3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1,592,557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1,503,830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5.9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Total operating expenses 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3,468,209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3,246,117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6.8 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5,860,883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5,346,687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9.6 </w:t>
            </w:r>
          </w:p>
        </w:tc>
      </w:tr>
      <w:tr w:rsidR="00356BD2" w:rsidRPr="00356BD2" w:rsidTr="00356BD2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102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Operating profit before value added tax (VAT) and nation building tax (NBT) on financial services 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3,699,018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3,771,601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(1.9)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4,406,023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4,238,169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4.0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VAT &amp; NBT on financial services 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1,132,414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778,421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45.5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1,147,014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794,121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44.4 </w:t>
            </w:r>
          </w:p>
        </w:tc>
      </w:tr>
      <w:tr w:rsidR="00356BD2" w:rsidRPr="00356BD2" w:rsidTr="00356BD2">
        <w:trPr>
          <w:trHeight w:val="81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Operating profit after VAT &amp; NBT on financial services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2,566,604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2,993,180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(14.3)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3,259,009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3,444,048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(5.4)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Share of profit/(loss) of an associate (net of tax)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(1,110)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before income tax</w:t>
            </w:r>
          </w:p>
        </w:tc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2,566,604 </w:t>
            </w:r>
          </w:p>
        </w:tc>
        <w:tc>
          <w:tcPr>
            <w:tcW w:w="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2,993,180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(14.3)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3,259,009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3,442,938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(5.3)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Income tax expense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885,575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892,863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(0.8)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1,098,703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1,028,584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6.8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for the period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(10.5)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Equity holders of the parent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2,053,415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2,325,089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(11.7)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106,891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89,265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19.7 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(20.0)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(10.5)</w:t>
            </w:r>
          </w:p>
        </w:tc>
      </w:tr>
      <w:tr w:rsidR="00356BD2" w:rsidRPr="00356BD2" w:rsidTr="00356BD2">
        <w:trPr>
          <w:trHeight w:val="390"/>
        </w:trPr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Basic/Diluted earnings per ordinary share (Rs.)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1.05 </w:t>
            </w:r>
          </w:p>
        </w:tc>
        <w:tc>
          <w:tcPr>
            <w:tcW w:w="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1.33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(21.1)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1.29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1.47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(12.2)</w:t>
            </w:r>
          </w:p>
        </w:tc>
      </w:tr>
      <w:tr w:rsidR="00356BD2" w:rsidRPr="00356BD2" w:rsidTr="00356BD2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1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</w:tr>
      <w:tr w:rsidR="00356BD2" w:rsidRPr="00356BD2" w:rsidTr="00356BD2">
        <w:trPr>
          <w:trHeight w:val="495"/>
        </w:trPr>
        <w:tc>
          <w:tcPr>
            <w:tcW w:w="70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4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Figures in brackets indicate deductions.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</w:tbl>
    <w:p w:rsidR="00356BD2" w:rsidRDefault="00356BD2" w:rsidP="00C82ACC">
      <w:pPr>
        <w:jc w:val="center"/>
        <w:rPr>
          <w:b/>
          <w:bCs/>
          <w:color w:val="FF0000"/>
        </w:rPr>
      </w:pPr>
    </w:p>
    <w:p w:rsidR="00356BD2" w:rsidRDefault="00356BD2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356BD2" w:rsidRPr="00356BD2" w:rsidRDefault="00356BD2" w:rsidP="00356BD2">
      <w:pPr>
        <w:spacing w:line="240" w:lineRule="auto"/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356BD2"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  <w:lastRenderedPageBreak/>
        <w:t>STATEMENT OF COMPREHENSIVE INCOME</w:t>
      </w:r>
    </w:p>
    <w:p w:rsidR="00356BD2" w:rsidRDefault="00356BD2" w:rsidP="00C82ACC">
      <w:pPr>
        <w:jc w:val="center"/>
        <w:rPr>
          <w:b/>
          <w:bCs/>
          <w:color w:val="FF0000"/>
        </w:rPr>
      </w:pPr>
    </w:p>
    <w:tbl>
      <w:tblPr>
        <w:tblW w:w="15502" w:type="dxa"/>
        <w:tblInd w:w="108" w:type="dxa"/>
        <w:tblLook w:val="04A0"/>
      </w:tblPr>
      <w:tblGrid>
        <w:gridCol w:w="5766"/>
        <w:gridCol w:w="275"/>
        <w:gridCol w:w="1457"/>
        <w:gridCol w:w="276"/>
        <w:gridCol w:w="1539"/>
        <w:gridCol w:w="276"/>
        <w:gridCol w:w="1052"/>
        <w:gridCol w:w="276"/>
        <w:gridCol w:w="1433"/>
        <w:gridCol w:w="276"/>
        <w:gridCol w:w="1513"/>
        <w:gridCol w:w="276"/>
        <w:gridCol w:w="1087"/>
      </w:tblGrid>
      <w:tr w:rsidR="00356BD2" w:rsidRPr="00356BD2" w:rsidTr="00356BD2">
        <w:trPr>
          <w:trHeight w:val="34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</w:tr>
      <w:tr w:rsidR="00356BD2" w:rsidRPr="00356BD2" w:rsidTr="00356BD2">
        <w:trPr>
          <w:trHeight w:val="33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</w:tr>
      <w:tr w:rsidR="00356BD2" w:rsidRPr="00356BD2" w:rsidTr="00356BD2">
        <w:trPr>
          <w:trHeight w:val="33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356BD2" w:rsidRPr="00356BD2" w:rsidTr="00356BD2">
        <w:trPr>
          <w:trHeight w:val="33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Restated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Restated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45"/>
        </w:trPr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for the period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1,681,029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2,100,317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2,160,306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2,414,354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(10.5)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Other comprehensive income/(expenses) (net of tax)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Actuarial gains and losses on defined benefit plans 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(324)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100.0 </w:t>
            </w:r>
          </w:p>
        </w:tc>
      </w:tr>
      <w:tr w:rsidR="00356BD2" w:rsidRPr="00356BD2" w:rsidTr="00356BD2">
        <w:trPr>
          <w:trHeight w:val="660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Gains/ (losses) on re-measuring available-for-sale financial assets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12,310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(75,111)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116.4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12,309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(75,242)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116.4 </w:t>
            </w:r>
          </w:p>
        </w:tc>
      </w:tr>
      <w:tr w:rsidR="00356BD2" w:rsidRPr="00356BD2" w:rsidTr="00356BD2">
        <w:trPr>
          <w:trHeight w:val="315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Revaluation of land and buildings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7,302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(100.0)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7,302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(100.0)</w:t>
            </w:r>
          </w:p>
        </w:tc>
      </w:tr>
      <w:tr w:rsidR="00356BD2" w:rsidRPr="00356BD2" w:rsidTr="00356BD2">
        <w:trPr>
          <w:trHeight w:val="630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Net gains/(losses) arising from translating the Financial Statements of the foreign subsidiary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66,127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181,748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(63.6)</w:t>
            </w:r>
          </w:p>
        </w:tc>
      </w:tr>
      <w:tr w:rsidR="00356BD2" w:rsidRPr="00356BD2" w:rsidTr="00356BD2">
        <w:trPr>
          <w:trHeight w:val="315"/>
        </w:trPr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Capital gain tax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(83,461)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100.0 </w:t>
            </w:r>
          </w:p>
        </w:tc>
      </w:tr>
      <w:tr w:rsidR="00356BD2" w:rsidRPr="00356BD2" w:rsidTr="00356BD2">
        <w:trPr>
          <w:trHeight w:val="64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Tax expense/(income) relating to components of other comprehensive income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(2,045)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100.0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(2,045)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100.0 </w:t>
            </w:r>
          </w:p>
        </w:tc>
      </w:tr>
      <w:tr w:rsidR="00356BD2" w:rsidRPr="00356BD2" w:rsidTr="00356BD2">
        <w:trPr>
          <w:trHeight w:val="390"/>
        </w:trPr>
        <w:tc>
          <w:tcPr>
            <w:tcW w:w="6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Other comprehensive income for the period, net of taxes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12,310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(69,854)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(117.6)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180.3 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Total comprehensive income for the period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1,693,339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2,030,463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(16.6)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2,238,742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2,442,332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(8.3)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Profit attributable to: 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 xml:space="preserve">Equity holders of the parent 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12,310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(69,854)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117.6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180.3 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-   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12,310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(69,854)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117.6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78,436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27,978 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180.3 </w:t>
            </w:r>
          </w:p>
        </w:tc>
      </w:tr>
      <w:tr w:rsidR="00356BD2" w:rsidRPr="00356BD2" w:rsidTr="00356BD2">
        <w:trPr>
          <w:trHeight w:val="390"/>
        </w:trPr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1,693,339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2,100,358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(19.4)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2,238,742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2,442,332 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(8.3)</w:t>
            </w:r>
          </w:p>
        </w:tc>
      </w:tr>
      <w:tr w:rsidR="00356BD2" w:rsidRPr="00356BD2" w:rsidTr="00356BD2">
        <w:trPr>
          <w:trHeight w:val="19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180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90"/>
        </w:trPr>
        <w:tc>
          <w:tcPr>
            <w:tcW w:w="7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356BD2" w:rsidRPr="00356BD2" w:rsidTr="00356BD2">
        <w:trPr>
          <w:trHeight w:val="375"/>
        </w:trPr>
        <w:tc>
          <w:tcPr>
            <w:tcW w:w="5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color w:val="000000"/>
                <w:lang w:bidi="ta-IN"/>
              </w:rPr>
              <w:t>Figures in brackets indicate deductions.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</w:tbl>
    <w:p w:rsidR="00356BD2" w:rsidRDefault="00356BD2" w:rsidP="00C82ACC">
      <w:pPr>
        <w:jc w:val="center"/>
        <w:rPr>
          <w:b/>
          <w:bCs/>
          <w:color w:val="FF0000"/>
        </w:rPr>
      </w:pPr>
    </w:p>
    <w:p w:rsidR="00356BD2" w:rsidRPr="00356BD2" w:rsidRDefault="00356BD2" w:rsidP="00356BD2">
      <w:pPr>
        <w:spacing w:line="240" w:lineRule="auto"/>
        <w:jc w:val="center"/>
        <w:rPr>
          <w:rFonts w:ascii="Book Antiqua" w:eastAsia="Times New Roman" w:hAnsi="Book Antiqua" w:cs="Arial"/>
          <w:b/>
          <w:bCs/>
          <w:lang w:bidi="ta-IN"/>
        </w:rPr>
      </w:pPr>
      <w:r w:rsidRPr="00356BD2">
        <w:rPr>
          <w:rFonts w:ascii="Book Antiqua" w:eastAsia="Times New Roman" w:hAnsi="Book Antiqua" w:cs="Arial"/>
          <w:b/>
          <w:bCs/>
          <w:lang w:bidi="ta-IN"/>
        </w:rPr>
        <w:t>DEBENTURE INFORMATION</w:t>
      </w:r>
    </w:p>
    <w:p w:rsidR="00356BD2" w:rsidRDefault="00356BD2" w:rsidP="00C82ACC">
      <w:pPr>
        <w:jc w:val="center"/>
        <w:rPr>
          <w:b/>
          <w:bCs/>
          <w:color w:val="FF0000"/>
        </w:rPr>
      </w:pPr>
    </w:p>
    <w:tbl>
      <w:tblPr>
        <w:tblW w:w="10201" w:type="dxa"/>
        <w:tblInd w:w="3105" w:type="dxa"/>
        <w:tblLook w:val="04A0"/>
      </w:tblPr>
      <w:tblGrid>
        <w:gridCol w:w="6006"/>
        <w:gridCol w:w="1083"/>
        <w:gridCol w:w="1556"/>
        <w:gridCol w:w="1556"/>
      </w:tblGrid>
      <w:tr w:rsidR="00356BD2" w:rsidRPr="00356BD2" w:rsidTr="00356BD2">
        <w:trPr>
          <w:trHeight w:val="345"/>
        </w:trPr>
        <w:tc>
          <w:tcPr>
            <w:tcW w:w="70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Market Prices for the quarter ended 30th September 2019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135"/>
        </w:trPr>
        <w:tc>
          <w:tcPr>
            <w:tcW w:w="6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356BD2" w:rsidRPr="00356BD2" w:rsidTr="00356BD2">
        <w:trPr>
          <w:trHeight w:val="330"/>
        </w:trPr>
        <w:tc>
          <w:tcPr>
            <w:tcW w:w="6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Highest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Lowest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Last Traded</w:t>
            </w:r>
          </w:p>
        </w:tc>
      </w:tr>
      <w:tr w:rsidR="00356BD2" w:rsidRPr="00356BD2" w:rsidTr="00356BD2">
        <w:trPr>
          <w:trHeight w:val="330"/>
        </w:trPr>
        <w:tc>
          <w:tcPr>
            <w:tcW w:w="6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356BD2" w:rsidRPr="00356BD2" w:rsidTr="00356BD2">
        <w:trPr>
          <w:trHeight w:val="315"/>
        </w:trPr>
        <w:tc>
          <w:tcPr>
            <w:tcW w:w="6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41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</w:tbl>
    <w:p w:rsidR="00356BD2" w:rsidRDefault="00356BD2" w:rsidP="00C82ACC">
      <w:pPr>
        <w:jc w:val="center"/>
        <w:rPr>
          <w:b/>
          <w:bCs/>
          <w:color w:val="FF0000"/>
        </w:rPr>
      </w:pPr>
    </w:p>
    <w:p w:rsidR="00356BD2" w:rsidRDefault="00356BD2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65709C" w:rsidRDefault="0065709C">
      <w:pPr>
        <w:rPr>
          <w:b/>
          <w:bCs/>
          <w:color w:val="FF0000"/>
        </w:rPr>
      </w:pPr>
    </w:p>
    <w:p w:rsidR="0065709C" w:rsidRDefault="0065709C">
      <w:pPr>
        <w:rPr>
          <w:b/>
          <w:bCs/>
          <w:color w:val="FF0000"/>
        </w:rPr>
      </w:pPr>
    </w:p>
    <w:tbl>
      <w:tblPr>
        <w:tblW w:w="10060" w:type="dxa"/>
        <w:tblInd w:w="2679" w:type="dxa"/>
        <w:tblLook w:val="04A0"/>
      </w:tblPr>
      <w:tblGrid>
        <w:gridCol w:w="5850"/>
        <w:gridCol w:w="1098"/>
        <w:gridCol w:w="1556"/>
        <w:gridCol w:w="1556"/>
      </w:tblGrid>
      <w:tr w:rsidR="00356BD2" w:rsidRPr="00356BD2" w:rsidTr="00356BD2">
        <w:trPr>
          <w:trHeight w:val="345"/>
        </w:trPr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135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356BD2" w:rsidRPr="00356BD2" w:rsidTr="00356BD2">
        <w:trPr>
          <w:trHeight w:val="990"/>
        </w:trPr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Coupon </w:t>
            </w:r>
            <w:proofErr w:type="gramStart"/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Rate</w:t>
            </w:r>
            <w:proofErr w:type="gramEnd"/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>(%)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Annual Effective</w:t>
            </w: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Rate (%)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9.60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9.83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9.95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9.95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11.90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12.25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12.63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12.60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13.00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12.40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12.40</w:t>
            </w:r>
          </w:p>
        </w:tc>
      </w:tr>
      <w:tr w:rsidR="00356BD2" w:rsidRPr="00356BD2" w:rsidTr="00356BD2">
        <w:trPr>
          <w:trHeight w:val="315"/>
        </w:trPr>
        <w:tc>
          <w:tcPr>
            <w:tcW w:w="5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12.80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12.80</w:t>
            </w:r>
          </w:p>
        </w:tc>
      </w:tr>
    </w:tbl>
    <w:p w:rsidR="00356BD2" w:rsidRDefault="00356BD2" w:rsidP="00C82ACC">
      <w:pPr>
        <w:jc w:val="center"/>
        <w:rPr>
          <w:b/>
          <w:bCs/>
          <w:color w:val="FF0000"/>
        </w:rPr>
      </w:pPr>
    </w:p>
    <w:tbl>
      <w:tblPr>
        <w:tblW w:w="10209" w:type="dxa"/>
        <w:tblInd w:w="2607" w:type="dxa"/>
        <w:tblLook w:val="04A0"/>
      </w:tblPr>
      <w:tblGrid>
        <w:gridCol w:w="6127"/>
        <w:gridCol w:w="970"/>
        <w:gridCol w:w="1556"/>
        <w:gridCol w:w="1556"/>
      </w:tblGrid>
      <w:tr w:rsidR="00356BD2" w:rsidRPr="00356BD2" w:rsidTr="00356BD2">
        <w:trPr>
          <w:trHeight w:val="345"/>
        </w:trPr>
        <w:tc>
          <w:tcPr>
            <w:tcW w:w="70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 of Comparable Government Securities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330"/>
        </w:trPr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6 Months Treasury Bill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9D79E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7.75%</w:t>
            </w:r>
          </w:p>
        </w:tc>
      </w:tr>
      <w:tr w:rsidR="00356BD2" w:rsidRPr="00356BD2" w:rsidTr="00356BD2">
        <w:trPr>
          <w:trHeight w:val="330"/>
        </w:trPr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1 Year Treasury Bill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9D79E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8.41%</w:t>
            </w:r>
          </w:p>
        </w:tc>
      </w:tr>
      <w:tr w:rsidR="00356BD2" w:rsidRPr="00356BD2" w:rsidTr="00356BD2">
        <w:trPr>
          <w:trHeight w:val="330"/>
        </w:trPr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 Year Treasury Bond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9D79E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9.79%</w:t>
            </w:r>
          </w:p>
        </w:tc>
      </w:tr>
      <w:tr w:rsidR="00356BD2" w:rsidRPr="00356BD2" w:rsidTr="00356BD2">
        <w:trPr>
          <w:trHeight w:val="330"/>
        </w:trPr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5 Year Treasury Bond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9D79E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10.27%</w:t>
            </w:r>
          </w:p>
        </w:tc>
      </w:tr>
      <w:tr w:rsidR="00356BD2" w:rsidRPr="00356BD2" w:rsidTr="00356BD2">
        <w:trPr>
          <w:trHeight w:val="330"/>
        </w:trPr>
        <w:tc>
          <w:tcPr>
            <w:tcW w:w="6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( Above rates are excluding withholding tax)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135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356BD2" w:rsidRPr="00356BD2" w:rsidTr="00356BD2">
        <w:trPr>
          <w:trHeight w:val="345"/>
        </w:trPr>
        <w:tc>
          <w:tcPr>
            <w:tcW w:w="6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65709C" w:rsidRDefault="0065709C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Current Yield &amp; Yield to Maturity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356BD2" w:rsidRPr="00356BD2" w:rsidTr="00356BD2">
        <w:trPr>
          <w:trHeight w:val="120"/>
        </w:trPr>
        <w:tc>
          <w:tcPr>
            <w:tcW w:w="6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356BD2" w:rsidRPr="00356BD2" w:rsidTr="00356BD2">
        <w:trPr>
          <w:trHeight w:val="960"/>
        </w:trPr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Current Yield                  (%)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b/>
                <w:bCs/>
                <w:lang w:bidi="ta-IN"/>
              </w:rPr>
              <w:t>Yield to Maturity        (%)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9.60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 9.60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 9.95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 9.95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11.90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11.90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12.25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12.25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12.60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2.60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12.40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2.40 </w:t>
            </w:r>
          </w:p>
        </w:tc>
      </w:tr>
      <w:tr w:rsidR="00356BD2" w:rsidRPr="00356BD2" w:rsidTr="00356BD2">
        <w:trPr>
          <w:trHeight w:val="315"/>
        </w:trPr>
        <w:tc>
          <w:tcPr>
            <w:tcW w:w="6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12.80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BD2" w:rsidRPr="00356BD2" w:rsidRDefault="00356BD2" w:rsidP="00356BD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356BD2">
              <w:rPr>
                <w:rFonts w:ascii="Book Antiqua" w:eastAsia="Times New Roman" w:hAnsi="Book Antiqua" w:cs="Arial"/>
                <w:lang w:bidi="ta-IN"/>
              </w:rPr>
              <w:t xml:space="preserve">              2.80 </w:t>
            </w:r>
          </w:p>
        </w:tc>
      </w:tr>
    </w:tbl>
    <w:p w:rsidR="00356BD2" w:rsidRDefault="00356BD2" w:rsidP="00C82ACC">
      <w:pPr>
        <w:jc w:val="center"/>
        <w:rPr>
          <w:b/>
          <w:bCs/>
          <w:color w:val="FF0000"/>
        </w:rPr>
      </w:pPr>
    </w:p>
    <w:p w:rsidR="008B2D8A" w:rsidRPr="008B2D8A" w:rsidRDefault="008B2D8A" w:rsidP="008B2D8A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8B2D8A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t>INFORMATION ON ORDINARY SHARES OF THE COMPANY</w:t>
      </w:r>
    </w:p>
    <w:p w:rsidR="00356BD2" w:rsidRDefault="00356BD2" w:rsidP="00C82ACC">
      <w:pPr>
        <w:jc w:val="center"/>
        <w:rPr>
          <w:b/>
          <w:bCs/>
          <w:color w:val="FF0000"/>
        </w:rPr>
      </w:pPr>
    </w:p>
    <w:tbl>
      <w:tblPr>
        <w:tblW w:w="12012" w:type="dxa"/>
        <w:tblInd w:w="108" w:type="dxa"/>
        <w:tblLook w:val="04A0"/>
      </w:tblPr>
      <w:tblGrid>
        <w:gridCol w:w="812"/>
        <w:gridCol w:w="812"/>
        <w:gridCol w:w="812"/>
        <w:gridCol w:w="2176"/>
        <w:gridCol w:w="556"/>
        <w:gridCol w:w="1616"/>
        <w:gridCol w:w="1796"/>
        <w:gridCol w:w="1656"/>
        <w:gridCol w:w="1776"/>
      </w:tblGrid>
      <w:tr w:rsidR="008B2D8A" w:rsidRPr="008B2D8A" w:rsidTr="008B2D8A">
        <w:trPr>
          <w:trHeight w:val="360"/>
        </w:trPr>
        <w:tc>
          <w:tcPr>
            <w:tcW w:w="24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 xml:space="preserve">Market Price 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2D8A" w:rsidRPr="008B2D8A" w:rsidTr="008B2D8A">
        <w:trPr>
          <w:trHeight w:val="36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8B2D8A" w:rsidRPr="008B2D8A" w:rsidTr="008B2D8A">
        <w:trPr>
          <w:trHeight w:val="34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2018</w:t>
            </w:r>
          </w:p>
        </w:tc>
      </w:tr>
      <w:tr w:rsidR="008B2D8A" w:rsidRPr="008B2D8A" w:rsidTr="008B2D8A">
        <w:trPr>
          <w:trHeight w:val="345"/>
        </w:trPr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8B2D8A" w:rsidRPr="008B2D8A" w:rsidTr="008B2D8A">
        <w:trPr>
          <w:trHeight w:val="319"/>
        </w:trPr>
        <w:tc>
          <w:tcPr>
            <w:tcW w:w="678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Highest price during the quarter ended 30th September :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16.30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15.50 </w:t>
            </w:r>
          </w:p>
        </w:tc>
      </w:tr>
      <w:tr w:rsidR="008B2D8A" w:rsidRPr="008B2D8A" w:rsidTr="008B2D8A">
        <w:trPr>
          <w:trHeight w:val="319"/>
        </w:trPr>
        <w:tc>
          <w:tcPr>
            <w:tcW w:w="6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Lowest price during the quarter ended 30th September :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13.90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14.00 </w:t>
            </w:r>
          </w:p>
        </w:tc>
      </w:tr>
      <w:tr w:rsidR="008B2D8A" w:rsidRPr="008B2D8A" w:rsidTr="008B2D8A">
        <w:trPr>
          <w:trHeight w:val="319"/>
        </w:trPr>
        <w:tc>
          <w:tcPr>
            <w:tcW w:w="4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Closing price as at 30th September :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14.80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14.20 </w:t>
            </w:r>
          </w:p>
        </w:tc>
      </w:tr>
    </w:tbl>
    <w:p w:rsidR="008B2D8A" w:rsidRDefault="008B2D8A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p w:rsidR="0065709C" w:rsidRDefault="0065709C" w:rsidP="00C82ACC">
      <w:pPr>
        <w:jc w:val="center"/>
        <w:rPr>
          <w:b/>
          <w:bCs/>
          <w:color w:val="FF0000"/>
        </w:rPr>
      </w:pPr>
    </w:p>
    <w:tbl>
      <w:tblPr>
        <w:tblW w:w="12012" w:type="dxa"/>
        <w:tblInd w:w="108" w:type="dxa"/>
        <w:tblLook w:val="04A0"/>
      </w:tblPr>
      <w:tblGrid>
        <w:gridCol w:w="2436"/>
        <w:gridCol w:w="2176"/>
        <w:gridCol w:w="556"/>
        <w:gridCol w:w="1616"/>
        <w:gridCol w:w="1796"/>
        <w:gridCol w:w="1656"/>
        <w:gridCol w:w="1776"/>
      </w:tblGrid>
      <w:tr w:rsidR="008B2D8A" w:rsidRPr="008B2D8A" w:rsidTr="008B2D8A">
        <w:trPr>
          <w:trHeight w:val="360"/>
        </w:trPr>
        <w:tc>
          <w:tcPr>
            <w:tcW w:w="24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>Issued Capital</w:t>
            </w:r>
          </w:p>
        </w:tc>
        <w:tc>
          <w:tcPr>
            <w:tcW w:w="21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8B2D8A" w:rsidRPr="008B2D8A" w:rsidTr="008B2D8A">
        <w:trPr>
          <w:trHeight w:val="300"/>
        </w:trPr>
        <w:tc>
          <w:tcPr>
            <w:tcW w:w="1201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Issued Capital as at 30th September 2019 was represented by the number of shares in issue as given below;</w:t>
            </w:r>
          </w:p>
        </w:tc>
      </w:tr>
    </w:tbl>
    <w:p w:rsidR="008B2D8A" w:rsidRDefault="008B2D8A" w:rsidP="00C82ACC">
      <w:pPr>
        <w:jc w:val="center"/>
        <w:rPr>
          <w:b/>
          <w:bCs/>
          <w:color w:val="FF0000"/>
        </w:rPr>
      </w:pPr>
    </w:p>
    <w:tbl>
      <w:tblPr>
        <w:tblW w:w="11980" w:type="dxa"/>
        <w:tblInd w:w="108" w:type="dxa"/>
        <w:tblLook w:val="04A0"/>
      </w:tblPr>
      <w:tblGrid>
        <w:gridCol w:w="396"/>
        <w:gridCol w:w="976"/>
        <w:gridCol w:w="1096"/>
        <w:gridCol w:w="2176"/>
        <w:gridCol w:w="556"/>
        <w:gridCol w:w="1600"/>
        <w:gridCol w:w="1780"/>
        <w:gridCol w:w="1640"/>
        <w:gridCol w:w="1760"/>
      </w:tblGrid>
      <w:tr w:rsidR="008B2D8A" w:rsidRPr="008B2D8A" w:rsidTr="008B2D8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2019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2018</w:t>
            </w:r>
          </w:p>
        </w:tc>
      </w:tr>
      <w:tr w:rsidR="008B2D8A" w:rsidRPr="008B2D8A" w:rsidTr="008B2D8A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</w:tr>
      <w:tr w:rsidR="008B2D8A" w:rsidRPr="008B2D8A" w:rsidTr="008B2D8A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8B2D8A" w:rsidRPr="008B2D8A" w:rsidTr="008B2D8A">
        <w:trPr>
          <w:trHeight w:val="315"/>
        </w:trPr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Ordinary shares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1,579,862,482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1,579,862,482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</w:tr>
      <w:tr w:rsidR="008B2D8A" w:rsidRPr="008B2D8A" w:rsidTr="008B2D8A">
        <w:trPr>
          <w:trHeight w:val="315"/>
        </w:trPr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Transfer from preference shares on redemption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</w:tr>
      <w:tr w:rsidR="008B2D8A" w:rsidRPr="008B2D8A" w:rsidTr="008B2D8A">
        <w:trPr>
          <w:trHeight w:val="300"/>
        </w:trPr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Scrip Dividend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47,840,906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679,340,867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 xml:space="preserve">                       -   </w:t>
            </w:r>
          </w:p>
        </w:tc>
      </w:tr>
      <w:tr w:rsidR="008B2D8A" w:rsidRPr="008B2D8A" w:rsidTr="008B2D8A">
        <w:trPr>
          <w:trHeight w:val="345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2D8A" w:rsidRPr="008B2D8A" w:rsidRDefault="008B2D8A" w:rsidP="008B2D8A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1,627,703,388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13,915,414,175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1,579,862,482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2D8A" w:rsidRPr="008B2D8A" w:rsidRDefault="008B2D8A" w:rsidP="0065709C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8B2D8A">
              <w:rPr>
                <w:rFonts w:ascii="Book Antiqua" w:eastAsia="Times New Roman" w:hAnsi="Book Antiqua" w:cs="Arial"/>
                <w:b/>
                <w:bCs/>
                <w:lang w:bidi="ta-IN"/>
              </w:rPr>
              <w:t>13,236,073,308</w:t>
            </w:r>
          </w:p>
        </w:tc>
      </w:tr>
    </w:tbl>
    <w:p w:rsidR="008B2D8A" w:rsidRDefault="008B2D8A" w:rsidP="00C82ACC">
      <w:pPr>
        <w:jc w:val="center"/>
        <w:rPr>
          <w:b/>
          <w:bCs/>
          <w:color w:val="FF0000"/>
        </w:rPr>
      </w:pPr>
    </w:p>
    <w:p w:rsidR="008B2D8A" w:rsidRDefault="008B2D8A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9D79E4" w:rsidRPr="009D79E4" w:rsidRDefault="009D79E4" w:rsidP="009D79E4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9D79E4"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  <w:lastRenderedPageBreak/>
        <w:t>STATEMENT OF FINANCIAL POSITION</w:t>
      </w:r>
    </w:p>
    <w:tbl>
      <w:tblPr>
        <w:tblW w:w="15876" w:type="dxa"/>
        <w:tblInd w:w="108" w:type="dxa"/>
        <w:tblLook w:val="04A0"/>
      </w:tblPr>
      <w:tblGrid>
        <w:gridCol w:w="2096"/>
        <w:gridCol w:w="1266"/>
        <w:gridCol w:w="1389"/>
        <w:gridCol w:w="276"/>
        <w:gridCol w:w="1389"/>
        <w:gridCol w:w="276"/>
        <w:gridCol w:w="1056"/>
        <w:gridCol w:w="276"/>
        <w:gridCol w:w="1336"/>
        <w:gridCol w:w="276"/>
        <w:gridCol w:w="1389"/>
        <w:gridCol w:w="276"/>
        <w:gridCol w:w="1496"/>
        <w:gridCol w:w="276"/>
        <w:gridCol w:w="1076"/>
        <w:gridCol w:w="276"/>
        <w:gridCol w:w="1496"/>
      </w:tblGrid>
      <w:tr w:rsidR="002676B6" w:rsidRPr="009D79E4" w:rsidTr="002676B6">
        <w:trPr>
          <w:trHeight w:val="315"/>
          <w:tblHeader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As at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30.09.2019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Change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31.03.2019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30.09.2019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Change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31.03.2019 </w:t>
            </w:r>
          </w:p>
        </w:tc>
      </w:tr>
      <w:tr w:rsidR="002676B6" w:rsidRPr="009D79E4" w:rsidTr="002676B6">
        <w:trPr>
          <w:trHeight w:val="315"/>
          <w:tblHeader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</w:tr>
      <w:tr w:rsidR="002676B6" w:rsidRPr="009D79E4" w:rsidTr="002676B6">
        <w:trPr>
          <w:trHeight w:val="315"/>
          <w:tblHeader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Restated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Restated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76B6" w:rsidRPr="009D79E4" w:rsidTr="002676B6">
        <w:trPr>
          <w:trHeight w:val="315"/>
          <w:tblHeader/>
        </w:trPr>
        <w:tc>
          <w:tcPr>
            <w:tcW w:w="2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Audited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Assets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9D79E4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9D79E4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Cash  and cash equivalents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2,359,330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2,527,476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(6.7)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3,294,055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2,670,498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2,859,379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4,310,595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Balances with  banks &amp; financial institutions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3,583,329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16.5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3,404,533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7,136,355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7,375,423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Financial assets - Held-for-trading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16,684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(84.1)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23,190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548,480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159.8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72,386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Loans and receivables - Leases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85,702,527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87,521,449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85,702,527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Loans and receivables - Hire purchase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362,033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1,006,906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(64.0)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582,278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2,565,963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2,970,960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2,668,635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Loans and receivables - Others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64,271,736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59,614,939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65,423,097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68,069,140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62,021,000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9.8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68,584,676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Insurance and reinsurance receivables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1,068,712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132.2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885,395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Financial investments – FVOCI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125,651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150.1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125,651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Financial investments – </w:t>
            </w:r>
            <w:proofErr w:type="spellStart"/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Amortised</w:t>
            </w:r>
            <w:proofErr w:type="spellEnd"/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Cost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21.6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8,002,625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9,811,051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7,794,930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25.9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9,091,945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Investments in subsidiaries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FF0000"/>
                <w:sz w:val="20"/>
                <w:szCs w:val="20"/>
                <w:lang w:bidi="ta-IN"/>
              </w:rPr>
              <w:t xml:space="preserve">                   -  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Investments in associate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237,633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237,633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Investment property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1,131,596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1,131,596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Property, plant and equipment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1,080,021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0.2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1,098,286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4,146,867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3.4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4,017,301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Goodwill and intangible assets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298,434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(12.7)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324,905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403,808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(10.4)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432,340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Leasehold property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84,065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82,531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(3.6)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84,064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Deferred tax assets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63,779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80.0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47,584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Other assets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975,316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983,184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(0.8)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1,024,644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1,123,284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1,080,991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1,164,884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Total assets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185,932,635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Liabilities 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Due to banks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11,896,677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39,019,636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(69.5)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27,273,933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14,637,416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41,490,770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(64.7)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30,475,326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Due to customers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99,746,450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39.5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88,368,656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100,659,844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41.4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88,923,196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Debt securities issued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21,096,652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21,127,408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21,275,031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20,963,785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20,994,635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21,134,040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lastRenderedPageBreak/>
              <w:t xml:space="preserve">Other financial liabilities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2,931,732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2,480,377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3,029,153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(12.9)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2,464,936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Insurance and reinsurance payable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5,113,841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19.7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4,880,873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Current tax liabilities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667,283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116.8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2,238,257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736,721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104.6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2,323,647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Deferred tax liabilities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2,025,139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(58.7)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1,177,845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2,180,064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(46.0)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1,141,973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Other liabilities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1,469,441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1,993,508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(26.3)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1,464,489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1,609,964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2,115,789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(23.9)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1,606,686 </w:t>
            </w:r>
          </w:p>
        </w:tc>
      </w:tr>
      <w:tr w:rsidR="002676B6" w:rsidRPr="009D79E4" w:rsidTr="002676B6">
        <w:trPr>
          <w:trHeight w:val="330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Total liabilities 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138,645,414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139,664,617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(0.7)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143,937,922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 xml:space="preserve">  147,928,569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146,070,610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1.3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152,950,677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Equity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Capital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13,236,073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Statutory reserve fund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2,142,270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2,058,219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2,155,062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2,070,667 </w:t>
            </w:r>
          </w:p>
        </w:tc>
      </w:tr>
      <w:tr w:rsidR="002676B6" w:rsidRPr="009D79E4" w:rsidTr="002676B6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Retained earnings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14,168,824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12,362,831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14.6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13,361,805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16,377,565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14,116,983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16.0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15,198,424 </w:t>
            </w:r>
          </w:p>
        </w:tc>
      </w:tr>
      <w:tr w:rsidR="002676B6" w:rsidRPr="009D79E4" w:rsidTr="002676B6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Other reserves  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(40,433)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43.2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(52,742)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   287,038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85.3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207,274 </w:t>
            </w:r>
          </w:p>
        </w:tc>
      </w:tr>
      <w:tr w:rsidR="002676B6" w:rsidRPr="009D79E4" w:rsidTr="002676B6">
        <w:trPr>
          <w:trHeight w:val="67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Total Equity attributable to equity holders of the Company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32,735,079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29,446,512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30,712,438 </w:t>
            </w:r>
          </w:p>
        </w:tc>
      </w:tr>
      <w:tr w:rsidR="002676B6" w:rsidRPr="009D79E4" w:rsidTr="002676B6">
        <w:trPr>
          <w:trHeight w:val="330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Non-controlling interest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 xml:space="preserve">      2,376,413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 7.2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2,269,520 </w:t>
            </w:r>
          </w:p>
        </w:tc>
      </w:tr>
      <w:tr w:rsidR="002676B6" w:rsidRPr="009D79E4" w:rsidTr="002676B6">
        <w:trPr>
          <w:trHeight w:val="330"/>
        </w:trPr>
        <w:tc>
          <w:tcPr>
            <w:tcW w:w="2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Total Equity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30,186,075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27,509,200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28,603,355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35,111,492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31,663,315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10.9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32,981,958 </w:t>
            </w:r>
          </w:p>
        </w:tc>
      </w:tr>
      <w:tr w:rsidR="002676B6" w:rsidRPr="009D79E4" w:rsidTr="002676B6">
        <w:trPr>
          <w:trHeight w:val="34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Total liabilities and equity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168,831,489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167,173,817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1.0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172,541,277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183,040,061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177,733,925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        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 xml:space="preserve">  185,932,635 </w:t>
            </w:r>
          </w:p>
        </w:tc>
      </w:tr>
      <w:tr w:rsidR="002676B6" w:rsidRPr="009D79E4" w:rsidTr="002676B6">
        <w:trPr>
          <w:trHeight w:val="21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676B6" w:rsidRPr="009D79E4" w:rsidTr="002676B6">
        <w:trPr>
          <w:trHeight w:val="330"/>
        </w:trPr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Contingencies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514,014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595,571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(23.2)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 514,150 </w:t>
            </w:r>
          </w:p>
        </w:tc>
      </w:tr>
      <w:tr w:rsidR="002676B6" w:rsidRPr="009D79E4" w:rsidTr="002676B6">
        <w:trPr>
          <w:trHeight w:val="330"/>
        </w:trPr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Commitments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7,975,009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7,261,850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8,017,122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  19.4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 xml:space="preserve">      7,274,558 </w:t>
            </w:r>
          </w:p>
        </w:tc>
      </w:tr>
      <w:tr w:rsidR="002676B6" w:rsidRPr="009D79E4" w:rsidTr="002676B6">
        <w:trPr>
          <w:trHeight w:val="16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</w:tr>
      <w:tr w:rsidR="002676B6" w:rsidRPr="009D79E4" w:rsidTr="00D33333">
        <w:trPr>
          <w:trHeight w:val="315"/>
        </w:trPr>
        <w:tc>
          <w:tcPr>
            <w:tcW w:w="3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9D79E4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Net assets value per ordinary share (Rs.)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18.55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17.94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3.4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sz w:val="20"/>
                <w:szCs w:val="20"/>
                <w:lang w:bidi="ta-IN"/>
              </w:rPr>
              <w:t>18.10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20.11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19.19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4.8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79E4" w:rsidRPr="002676B6" w:rsidRDefault="009D79E4" w:rsidP="00D33333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</w:pPr>
            <w:r w:rsidRPr="002676B6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bidi="ta-IN"/>
              </w:rPr>
              <w:t>19.44</w:t>
            </w:r>
          </w:p>
        </w:tc>
      </w:tr>
    </w:tbl>
    <w:p w:rsidR="002676B6" w:rsidRDefault="002676B6" w:rsidP="00C82ACC">
      <w:pPr>
        <w:jc w:val="center"/>
        <w:rPr>
          <w:b/>
          <w:bCs/>
          <w:color w:val="FF0000"/>
        </w:rPr>
      </w:pPr>
    </w:p>
    <w:p w:rsidR="002676B6" w:rsidRDefault="002676B6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tbl>
      <w:tblPr>
        <w:tblW w:w="15300" w:type="dxa"/>
        <w:tblInd w:w="108" w:type="dxa"/>
        <w:tblLayout w:type="fixed"/>
        <w:tblLook w:val="04A0"/>
      </w:tblPr>
      <w:tblGrid>
        <w:gridCol w:w="2187"/>
        <w:gridCol w:w="3213"/>
        <w:gridCol w:w="1487"/>
        <w:gridCol w:w="236"/>
        <w:gridCol w:w="1487"/>
        <w:gridCol w:w="236"/>
        <w:gridCol w:w="1070"/>
        <w:gridCol w:w="236"/>
        <w:gridCol w:w="1487"/>
        <w:gridCol w:w="236"/>
        <w:gridCol w:w="1487"/>
        <w:gridCol w:w="236"/>
        <w:gridCol w:w="622"/>
        <w:gridCol w:w="270"/>
        <w:gridCol w:w="270"/>
        <w:gridCol w:w="270"/>
        <w:gridCol w:w="270"/>
      </w:tblGrid>
      <w:tr w:rsidR="00262C19" w:rsidRPr="00262C19" w:rsidTr="0065709C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  <w:lastRenderedPageBreak/>
              <w:t>CERTIFICATION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450"/>
        </w:trPr>
        <w:tc>
          <w:tcPr>
            <w:tcW w:w="15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62C19" w:rsidRPr="00262C19" w:rsidRDefault="00262C19" w:rsidP="00262C19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lang w:bidi="ta-IN"/>
              </w:rPr>
              <w:t>We, the undersigned, being the Chief Executive Officer and the Chief Financial Officer</w:t>
            </w:r>
            <w:r w:rsidRPr="00262C19">
              <w:rPr>
                <w:rFonts w:ascii="Book Antiqua" w:eastAsia="Times New Roman" w:hAnsi="Book Antiqua" w:cs="Arial"/>
                <w:color w:val="FF0000"/>
                <w:lang w:bidi="ta-IN"/>
              </w:rPr>
              <w:t xml:space="preserve"> </w:t>
            </w:r>
            <w:r w:rsidRPr="00262C19">
              <w:rPr>
                <w:rFonts w:ascii="Book Antiqua" w:eastAsia="Times New Roman" w:hAnsi="Book Antiqua" w:cs="Arial"/>
                <w:lang w:bidi="ta-IN"/>
              </w:rPr>
              <w:t>of People's Leasing &amp; Finance PLC certify jointly that:</w:t>
            </w:r>
          </w:p>
        </w:tc>
      </w:tr>
      <w:tr w:rsidR="00262C19" w:rsidRPr="00262C19" w:rsidTr="00262C19">
        <w:trPr>
          <w:trHeight w:val="330"/>
        </w:trPr>
        <w:tc>
          <w:tcPr>
            <w:tcW w:w="15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lang w:bidi="ta-IN"/>
              </w:rPr>
              <w:t>a) the above statements have been prepared in compliance with the format and the definitions prescribed by the Central Bank of Sri Lanka;</w:t>
            </w:r>
          </w:p>
        </w:tc>
      </w:tr>
      <w:tr w:rsidR="00262C19" w:rsidRPr="00262C19" w:rsidTr="00262C19">
        <w:trPr>
          <w:trHeight w:val="660"/>
        </w:trPr>
        <w:tc>
          <w:tcPr>
            <w:tcW w:w="15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proofErr w:type="gramStart"/>
            <w:r w:rsidRPr="00262C19">
              <w:rPr>
                <w:rFonts w:ascii="Book Antiqua" w:eastAsia="Times New Roman" w:hAnsi="Book Antiqua" w:cs="Arial"/>
                <w:lang w:bidi="ta-IN"/>
              </w:rPr>
              <w:t>the</w:t>
            </w:r>
            <w:proofErr w:type="gramEnd"/>
            <w:r w:rsidRPr="00262C19">
              <w:rPr>
                <w:rFonts w:ascii="Book Antiqua" w:eastAsia="Times New Roman" w:hAnsi="Book Antiqua" w:cs="Arial"/>
                <w:lang w:bidi="ta-IN"/>
              </w:rPr>
              <w:t xml:space="preserve"> information contained in these statements have been extracted from the unaudited financial statements of People's Leasing &amp; Finance PLC unless indicated as audited.</w:t>
            </w:r>
          </w:p>
        </w:tc>
      </w:tr>
      <w:tr w:rsidR="00262C19" w:rsidRPr="00262C19" w:rsidTr="00262C19">
        <w:trPr>
          <w:trHeight w:val="43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3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60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b/>
                <w:bCs/>
                <w:lang w:bidi="ta-IN"/>
              </w:rPr>
              <w:t>A.S. Ibrahim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262C19">
              <w:rPr>
                <w:rFonts w:ascii="Book Antiqua" w:eastAsia="Times New Roman" w:hAnsi="Book Antiqua" w:cs="Arial"/>
                <w:b/>
                <w:bCs/>
                <w:lang w:bidi="ta-IN"/>
              </w:rPr>
              <w:t>Sanjeewa</w:t>
            </w:r>
            <w:proofErr w:type="spellEnd"/>
            <w:r w:rsidRPr="00262C1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proofErr w:type="spellStart"/>
            <w:r w:rsidRPr="00262C19">
              <w:rPr>
                <w:rFonts w:ascii="Book Antiqua" w:eastAsia="Times New Roman" w:hAnsi="Book Antiqua" w:cs="Arial"/>
                <w:b/>
                <w:bCs/>
                <w:lang w:bidi="ta-IN"/>
              </w:rPr>
              <w:t>Bandaranayake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i/>
                <w:iCs/>
                <w:lang w:bidi="ta-IN"/>
              </w:rPr>
              <w:t>Chief Executive Officer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i/>
                <w:iCs/>
                <w:lang w:bidi="ta-IN"/>
              </w:rPr>
              <w:t>Chief Financial Officer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15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lang w:bidi="ta-IN"/>
              </w:rPr>
              <w:t xml:space="preserve">The Board of Directors is responsible for </w:t>
            </w:r>
            <w:r w:rsidR="00D33333">
              <w:rPr>
                <w:rFonts w:ascii="Book Antiqua" w:eastAsia="Times New Roman" w:hAnsi="Book Antiqua" w:cs="Arial"/>
                <w:lang w:bidi="ta-IN"/>
              </w:rPr>
              <w:t xml:space="preserve">the preparation and presentation of </w:t>
            </w:r>
            <w:r w:rsidRPr="00262C19">
              <w:rPr>
                <w:rFonts w:ascii="Book Antiqua" w:eastAsia="Times New Roman" w:hAnsi="Book Antiqua" w:cs="Arial"/>
                <w:lang w:bidi="ta-IN"/>
              </w:rPr>
              <w:t>these Financial Statements.</w:t>
            </w:r>
          </w:p>
        </w:tc>
      </w:tr>
      <w:tr w:rsidR="00262C19" w:rsidRPr="00262C19" w:rsidTr="00262C19">
        <w:trPr>
          <w:trHeight w:val="7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153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lang w:bidi="ta-IN"/>
              </w:rPr>
              <w:t>Approved and signed for and on behalf of the Board by;</w:t>
            </w: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(sgd.)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M.P. </w:t>
            </w:r>
            <w:proofErr w:type="spellStart"/>
            <w:r w:rsidRPr="00262C1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Amirthanayagam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J.P. </w:t>
            </w:r>
            <w:proofErr w:type="spellStart"/>
            <w:r w:rsidRPr="00262C19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>Amaratunga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Director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  <w:r w:rsidRPr="00262C19">
              <w:rPr>
                <w:rFonts w:eastAsia="Times New Roman"/>
                <w:sz w:val="22"/>
                <w:szCs w:val="22"/>
                <w:lang w:bidi="ta-IN"/>
              </w:rPr>
              <w:t>Director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DA2807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Arial"/>
                <w:lang w:bidi="ta-IN"/>
              </w:rPr>
              <w:t>25</w:t>
            </w:r>
            <w:r w:rsidRPr="00DA2807">
              <w:rPr>
                <w:rFonts w:ascii="Book Antiqua" w:eastAsia="Times New Roman" w:hAnsi="Book Antiqua" w:cs="Arial"/>
                <w:vertAlign w:val="superscript"/>
                <w:lang w:bidi="ta-IN"/>
              </w:rPr>
              <w:t>th</w:t>
            </w:r>
            <w:r>
              <w:rPr>
                <w:rFonts w:ascii="Book Antiqua" w:eastAsia="Times New Roman" w:hAnsi="Book Antiqua" w:cs="Arial"/>
                <w:lang w:bidi="ta-IN"/>
              </w:rPr>
              <w:t xml:space="preserve"> October 2019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262C19" w:rsidRPr="00262C19" w:rsidTr="00262C19">
        <w:trPr>
          <w:trHeight w:val="315"/>
        </w:trPr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262C19">
              <w:rPr>
                <w:rFonts w:ascii="Book Antiqua" w:eastAsia="Times New Roman" w:hAnsi="Book Antiqua" w:cs="Arial"/>
                <w:i/>
                <w:iCs/>
                <w:lang w:bidi="ta-IN"/>
              </w:rPr>
              <w:t>Colombo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2C19" w:rsidRPr="00262C19" w:rsidRDefault="00262C19" w:rsidP="00262C1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262C19" w:rsidRDefault="00262C19" w:rsidP="00C82ACC">
      <w:pPr>
        <w:jc w:val="center"/>
        <w:rPr>
          <w:b/>
          <w:bCs/>
          <w:color w:val="FF0000"/>
        </w:rPr>
      </w:pPr>
    </w:p>
    <w:p w:rsidR="00262C19" w:rsidRDefault="00262C19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E12131" w:rsidRPr="00E12131" w:rsidRDefault="00E12131" w:rsidP="00E12131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E12131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lastRenderedPageBreak/>
        <w:t>SELECTED PERFORMANCE INDICATORS</w:t>
      </w:r>
    </w:p>
    <w:p w:rsidR="008B2D8A" w:rsidRDefault="008B2D8A" w:rsidP="00C82ACC">
      <w:pPr>
        <w:jc w:val="center"/>
        <w:rPr>
          <w:b/>
          <w:bCs/>
          <w:color w:val="FF0000"/>
        </w:rPr>
      </w:pPr>
    </w:p>
    <w:tbl>
      <w:tblPr>
        <w:tblW w:w="10952" w:type="dxa"/>
        <w:tblInd w:w="2230" w:type="dxa"/>
        <w:tblLook w:val="04A0"/>
      </w:tblPr>
      <w:tblGrid>
        <w:gridCol w:w="7936"/>
        <w:gridCol w:w="1547"/>
        <w:gridCol w:w="1469"/>
      </w:tblGrid>
      <w:tr w:rsidR="00E12131" w:rsidRPr="00E12131" w:rsidTr="00E12131">
        <w:trPr>
          <w:trHeight w:val="345"/>
          <w:tblHeader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Company</w:t>
            </w:r>
          </w:p>
        </w:tc>
      </w:tr>
      <w:tr w:rsidR="00E12131" w:rsidRPr="00E12131" w:rsidTr="00E12131">
        <w:trPr>
          <w:trHeight w:val="330"/>
          <w:tblHeader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</w:tr>
      <w:tr w:rsidR="00E12131" w:rsidRPr="00E12131" w:rsidTr="00E12131">
        <w:trPr>
          <w:trHeight w:val="330"/>
          <w:tblHeader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30.09.2018</w:t>
            </w:r>
          </w:p>
        </w:tc>
      </w:tr>
      <w:tr w:rsidR="00E12131" w:rsidRPr="00E12131" w:rsidTr="00E12131">
        <w:trPr>
          <w:trHeight w:val="345"/>
        </w:trPr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Capital Adequacy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DA2807" w:rsidRDefault="00DA2807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lang w:bidi="ta-IN"/>
              </w:rPr>
              <w:t>Core Capital – Rs.000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DA2807" w:rsidRDefault="00E12131" w:rsidP="00DA28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  <w:r w:rsidR="00DA2807"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>27,230,283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DA2807" w:rsidRDefault="00E12131" w:rsidP="00DA28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  <w:r w:rsidR="00DA2807"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>24,430,476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DA2807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lang w:bidi="ta-IN"/>
              </w:rPr>
              <w:t>Total Capital Base - Rs. '000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DA2807" w:rsidRDefault="00DA2807" w:rsidP="00DA28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28,697,455</w:t>
            </w:r>
            <w:r w:rsidR="00E12131"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DA2807" w:rsidRDefault="00E12131" w:rsidP="00DA28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</w:t>
            </w:r>
            <w:r w:rsidR="00DA2807"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>2</w:t>
            </w:r>
            <w:r w:rsidRPr="00DA2807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5,737,546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Core Capital to Risk Weighted Assets Ratio (Minimum 7%)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15.29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13.58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Total Capital to Risk Weighted Assets Ratio (Minimum 11%)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16.11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</w:t>
            </w:r>
            <w:r w:rsidR="00DA2807">
              <w:rPr>
                <w:rFonts w:ascii="Book Antiqua" w:eastAsia="Times New Roman" w:hAnsi="Book Antiqua" w:cs="Arial"/>
                <w:lang w:bidi="ta-IN"/>
              </w:rPr>
              <w:t>1</w:t>
            </w: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4.31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Capital Funds to Total Deposit Liabilities Ratio (Minimum 10%)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DA2807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30</w:t>
            </w:r>
            <w:r w:rsidR="00E12131"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.44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</w:t>
            </w:r>
            <w:r w:rsidR="00DA2807">
              <w:rPr>
                <w:rFonts w:ascii="Book Antiqua" w:eastAsia="Times New Roman" w:hAnsi="Book Antiqua" w:cs="Arial"/>
                <w:lang w:bidi="ta-IN"/>
              </w:rPr>
              <w:t>3</w:t>
            </w: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8.37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45"/>
        </w:trPr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Asset Quality (Quality of Loan Portfolio)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Gross Non-Performing Advances - Rs. '000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10,322,099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6,500,756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Gross Non-Performing Advances Ratio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6.63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4.23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Net- Non-Performing Advances Ratio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1.28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0.80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E12131" w:rsidRPr="00E12131" w:rsidTr="00E12131">
        <w:trPr>
          <w:trHeight w:val="345"/>
        </w:trPr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Profitability</w:t>
            </w: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E12131">
              <w:rPr>
                <w:rFonts w:ascii="Book Antiqua" w:eastAsia="Times New Roman" w:hAnsi="Book Antiqua" w:cs="Arial"/>
                <w:i/>
                <w:iCs/>
                <w:lang w:bidi="ta-IN"/>
              </w:rPr>
              <w:t>(Annualized)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Interest Margin (%)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9.78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9.40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Return on Average Assets (before Tax)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3.01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3.64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Return on Average Equity (after tax)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11.44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15.36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45"/>
        </w:trPr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Liquidity - Rs. '000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Required Minimum Amount of Liquid Assets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12,508,424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10,610,957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Available Amount of Liquid Assets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DA2807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lang w:bidi="ta-IN"/>
              </w:rPr>
              <w:t>13,011,180</w:t>
            </w:r>
            <w:r w:rsidR="00E12131"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</w:t>
            </w:r>
            <w:r w:rsidR="00E12131"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13,011,180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  11,043,030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lastRenderedPageBreak/>
              <w:t>Required Minimum Amount of Government Securities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8,012,870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6,813,138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Available Amount of Government Securities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8,401,890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6,966,535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45"/>
        </w:trPr>
        <w:tc>
          <w:tcPr>
            <w:tcW w:w="79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Memorandum information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Number of employees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2,388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2,187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Number of branches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103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 103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Number of service centers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101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 101 </w:t>
            </w:r>
          </w:p>
        </w:tc>
      </w:tr>
      <w:tr w:rsidR="00E12131" w:rsidRPr="00E12131" w:rsidTr="00E12131">
        <w:trPr>
          <w:trHeight w:val="330"/>
        </w:trPr>
        <w:tc>
          <w:tcPr>
            <w:tcW w:w="7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>Number of pawning centers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2131" w:rsidRPr="00E12131" w:rsidRDefault="00E12131" w:rsidP="00E12131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E12131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</w:tbl>
    <w:p w:rsidR="00E12131" w:rsidRDefault="00E12131" w:rsidP="00C82ACC">
      <w:pPr>
        <w:jc w:val="center"/>
        <w:rPr>
          <w:b/>
          <w:bCs/>
          <w:color w:val="FF0000"/>
        </w:rPr>
      </w:pPr>
    </w:p>
    <w:p w:rsidR="00283099" w:rsidRDefault="00283099">
      <w:pPr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br w:type="page"/>
      </w:r>
    </w:p>
    <w:p w:rsidR="00DF7C0E" w:rsidRDefault="00DF7C0E" w:rsidP="00283099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  <w:r w:rsidRPr="00DF7C0E"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  <w:lastRenderedPageBreak/>
        <w:t>SHAREHOLDERS' INFORMATION</w:t>
      </w:r>
    </w:p>
    <w:p w:rsidR="00283099" w:rsidRPr="00DF7C0E" w:rsidRDefault="00283099" w:rsidP="00283099">
      <w:pPr>
        <w:spacing w:line="240" w:lineRule="auto"/>
        <w:jc w:val="center"/>
        <w:rPr>
          <w:rFonts w:ascii="Book Antiqua" w:eastAsia="Times New Roman" w:hAnsi="Book Antiqua" w:cs="Arial"/>
          <w:b/>
          <w:bCs/>
          <w:sz w:val="28"/>
          <w:szCs w:val="28"/>
          <w:lang w:bidi="ta-IN"/>
        </w:rPr>
      </w:pPr>
    </w:p>
    <w:tbl>
      <w:tblPr>
        <w:tblW w:w="14328" w:type="dxa"/>
        <w:tblInd w:w="108" w:type="dxa"/>
        <w:tblLook w:val="04A0"/>
      </w:tblPr>
      <w:tblGrid>
        <w:gridCol w:w="10796"/>
        <w:gridCol w:w="2036"/>
        <w:gridCol w:w="1496"/>
      </w:tblGrid>
      <w:tr w:rsidR="00283099" w:rsidRPr="00283099" w:rsidTr="00283099">
        <w:trPr>
          <w:trHeight w:val="345"/>
        </w:trPr>
        <w:tc>
          <w:tcPr>
            <w:tcW w:w="10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Twenty Largest Ordinary Shareholders as at 30th September 2019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3099" w:rsidRPr="00283099" w:rsidTr="00283099">
        <w:trPr>
          <w:trHeight w:val="345"/>
        </w:trPr>
        <w:tc>
          <w:tcPr>
            <w:tcW w:w="10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Twenty largest ordinary shareholders of the Company as at 30th September 2019 were as follows;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283099" w:rsidRDefault="00283099">
      <w:pPr>
        <w:rPr>
          <w:b/>
          <w:bCs/>
          <w:color w:val="FF0000"/>
        </w:rPr>
      </w:pPr>
    </w:p>
    <w:tbl>
      <w:tblPr>
        <w:tblW w:w="14418" w:type="dxa"/>
        <w:tblInd w:w="108" w:type="dxa"/>
        <w:tblLook w:val="04A0"/>
      </w:tblPr>
      <w:tblGrid>
        <w:gridCol w:w="610"/>
        <w:gridCol w:w="10276"/>
        <w:gridCol w:w="2036"/>
        <w:gridCol w:w="1496"/>
      </w:tblGrid>
      <w:tr w:rsidR="00283099" w:rsidRPr="00283099" w:rsidTr="00283099">
        <w:trPr>
          <w:trHeight w:val="345"/>
        </w:trPr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No.</w:t>
            </w:r>
          </w:p>
        </w:tc>
        <w:tc>
          <w:tcPr>
            <w:tcW w:w="10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Name of the Shareholder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%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People's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1,220,777,540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75.00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2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Employees Provident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88,345,465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5.43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3</w:t>
            </w:r>
          </w:p>
        </w:tc>
        <w:tc>
          <w:tcPr>
            <w:tcW w:w="10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BNYM SA/NV RE-Neon Liberty Lorikeet Master Fund LP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75,297,137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4.63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4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National Savings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44,990,502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2.76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5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Rubber Investment Trust Limited A/C # 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17,371,951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1.07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6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CitiBank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Newyork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S/A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Norges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Bank Account 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16,371,565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1.01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Bank of Ceylon No. 1 Account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11,800,434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0.72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8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Sri Lanka Insurance Corporation Ltd-General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7,235,629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0.44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9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AIA Insurance Lanka PLC A/C No.07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5,354,904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0.33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Ceylon Investment PLC A/C # 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5,104,933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0.31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Ceylon Guardian Investment Trust PLC A/C # 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3,341,661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0.21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12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Caceis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Bank, Luxembourg Branch-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Tcm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Investment Funds Luxembourg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2,975,188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0.18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13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Hatton National Bank PLC A/C No.4 (HNB Retirement Pension Fund)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2,802,101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0.17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14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Employees Trust Fund Board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2,427,433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0.15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15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Union Assurance PLC- Universal Life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2,362,439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0.15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16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Akbar Brothers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Ltd A/C No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2,065,214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0.13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17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First Capital Limited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1,751,478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0.11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18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Pershing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Llc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S/A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Averbach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Grauson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&amp; Co.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1,730,873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0.11 </w:t>
            </w:r>
          </w:p>
        </w:tc>
      </w:tr>
      <w:tr w:rsidR="00283099" w:rsidRPr="00283099" w:rsidTr="00283099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19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Deutsche Bank AG as Trustee for Guardian Acuity Equity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1,687,473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0.10 </w:t>
            </w:r>
          </w:p>
        </w:tc>
      </w:tr>
      <w:tr w:rsidR="00283099" w:rsidRPr="00283099" w:rsidTr="00283099">
        <w:trPr>
          <w:trHeight w:val="63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20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Guardian Fund Management Limited/The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Aitken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Spence And Associated Companies Executive Staff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Providen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1,652,381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0.10 </w:t>
            </w:r>
          </w:p>
        </w:tc>
      </w:tr>
      <w:tr w:rsidR="00283099" w:rsidRPr="00283099" w:rsidTr="00283099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283099" w:rsidRDefault="00283099">
      <w:r>
        <w:br w:type="page"/>
      </w:r>
    </w:p>
    <w:tbl>
      <w:tblPr>
        <w:tblW w:w="14418" w:type="dxa"/>
        <w:tblInd w:w="108" w:type="dxa"/>
        <w:tblLook w:val="04A0"/>
      </w:tblPr>
      <w:tblGrid>
        <w:gridCol w:w="610"/>
        <w:gridCol w:w="10276"/>
        <w:gridCol w:w="2036"/>
        <w:gridCol w:w="1496"/>
      </w:tblGrid>
      <w:tr w:rsidR="00283099" w:rsidRPr="00283099" w:rsidTr="00283099">
        <w:trPr>
          <w:trHeight w:val="345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Public Holding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3099" w:rsidRPr="00283099" w:rsidTr="00283099">
        <w:trPr>
          <w:trHeight w:val="750"/>
        </w:trPr>
        <w:tc>
          <w:tcPr>
            <w:tcW w:w="14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The percentage of ordinary shares held by the public as at 30th September 2019 was 24.95% and the number of shareholders representing the public holding was 9,090.</w:t>
            </w:r>
          </w:p>
        </w:tc>
      </w:tr>
      <w:tr w:rsidR="00283099" w:rsidRPr="00283099" w:rsidTr="00283099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3099" w:rsidRPr="00283099" w:rsidTr="00283099">
        <w:trPr>
          <w:trHeight w:val="345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Directors'/ CEO's Holding in Shares as at 30th September 2019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3099" w:rsidRPr="00283099" w:rsidTr="00283099">
        <w:trPr>
          <w:trHeight w:val="360"/>
        </w:trPr>
        <w:tc>
          <w:tcPr>
            <w:tcW w:w="129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The number of ordinary shares held by the directors and CEO as at 30th September 2019 were as follows;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3099" w:rsidRPr="00283099" w:rsidTr="00283099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3099" w:rsidRPr="00283099" w:rsidTr="00283099">
        <w:trPr>
          <w:trHeight w:val="345"/>
        </w:trPr>
        <w:tc>
          <w:tcPr>
            <w:tcW w:w="10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Name 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Position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</w:tr>
      <w:tr w:rsidR="00283099" w:rsidRPr="00283099" w:rsidTr="00283099">
        <w:trPr>
          <w:trHeight w:val="390"/>
        </w:trPr>
        <w:tc>
          <w:tcPr>
            <w:tcW w:w="10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Hemasiri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Fernando (Retired on 12th October 2019)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Chairman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Michael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Pradeep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Amirthanayagam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Deputy Chairman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10,302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Jehan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Prasanna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Amaratunga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Goluhewage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Bindu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Rasitha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Poojitha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Gunawardana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Mr. Johnson Anthony Fernando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Mohamed Anise Mohamed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Rizwan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Dr. Kennedy D.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Gunawardena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N.W.A.M.U.K.K.E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Weerasinghe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315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R.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Pathirage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247,267 </w:t>
            </w:r>
          </w:p>
        </w:tc>
      </w:tr>
      <w:tr w:rsidR="00283099" w:rsidRPr="00283099" w:rsidTr="00283099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Ahamed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283099">
              <w:rPr>
                <w:rFonts w:ascii="Book Antiqua" w:eastAsia="Times New Roman" w:hAnsi="Book Antiqua" w:cs="Arial"/>
                <w:lang w:bidi="ta-IN"/>
              </w:rPr>
              <w:t>Sabry</w:t>
            </w:r>
            <w:proofErr w:type="spellEnd"/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Ibrahim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CEO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283099" w:rsidRPr="00283099" w:rsidTr="00283099">
        <w:trPr>
          <w:trHeight w:val="2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3099" w:rsidRPr="00283099" w:rsidTr="00F73F2C">
        <w:trPr>
          <w:trHeight w:val="330"/>
        </w:trPr>
        <w:tc>
          <w:tcPr>
            <w:tcW w:w="61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3099" w:rsidRPr="00283099" w:rsidTr="00F73F2C">
        <w:trPr>
          <w:trHeight w:val="330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Float adjusted Market </w:t>
            </w:r>
            <w:proofErr w:type="spellStart"/>
            <w:r w:rsidRPr="00283099">
              <w:rPr>
                <w:rFonts w:ascii="Book Antiqua" w:eastAsia="Times New Roman" w:hAnsi="Book Antiqua" w:cs="Arial"/>
                <w:b/>
                <w:bCs/>
                <w:lang w:bidi="ta-IN"/>
              </w:rPr>
              <w:t>Capitalisation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83099" w:rsidRPr="00283099" w:rsidTr="00F73F2C">
        <w:trPr>
          <w:trHeight w:val="330"/>
        </w:trPr>
        <w:tc>
          <w:tcPr>
            <w:tcW w:w="1441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The Float adjusted market capitalization as at 30th September 2019 - Rs. 6,010,154,674</w:t>
            </w:r>
          </w:p>
        </w:tc>
      </w:tr>
      <w:tr w:rsidR="00283099" w:rsidRPr="00283099" w:rsidTr="00283099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3099" w:rsidRPr="00283099" w:rsidRDefault="00283099" w:rsidP="00283099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83099" w:rsidRPr="00283099" w:rsidTr="00F73F2C">
        <w:trPr>
          <w:trHeight w:val="735"/>
        </w:trPr>
        <w:tc>
          <w:tcPr>
            <w:tcW w:w="14418" w:type="dxa"/>
            <w:gridSpan w:val="4"/>
            <w:tcBorders>
              <w:left w:val="nil"/>
              <w:right w:val="nil"/>
            </w:tcBorders>
            <w:shd w:val="clear" w:color="auto" w:fill="auto"/>
            <w:hideMark/>
          </w:tcPr>
          <w:p w:rsidR="00283099" w:rsidRPr="00283099" w:rsidRDefault="00283099" w:rsidP="00283099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283099">
              <w:rPr>
                <w:rFonts w:ascii="Book Antiqua" w:eastAsia="Times New Roman" w:hAnsi="Book Antiqua" w:cs="Arial"/>
                <w:lang w:bidi="ta-IN"/>
              </w:rPr>
              <w:t>The Float adjusted market capitalization of the Company falls under Option 3 of Rule 7.13.1 (a), of the Listing Rules of the Colombo Stock Exchange and the Company has complied with the minimum public holding requirement applicable under the said option.</w:t>
            </w:r>
          </w:p>
        </w:tc>
      </w:tr>
    </w:tbl>
    <w:p w:rsidR="00E12131" w:rsidRPr="005C76DE" w:rsidRDefault="00E12131" w:rsidP="00C82ACC">
      <w:pPr>
        <w:jc w:val="center"/>
        <w:rPr>
          <w:b/>
          <w:bCs/>
          <w:color w:val="FF0000"/>
        </w:rPr>
      </w:pPr>
    </w:p>
    <w:sectPr w:rsidR="00E12131" w:rsidRPr="005C76DE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843D6" w15:done="0"/>
  <w15:commentEx w15:paraId="558AA695" w15:done="0"/>
  <w15:commentEx w15:paraId="0ADE14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inika Dulanjali Weerasuriya">
    <w15:presenceInfo w15:providerId="AD" w15:userId="S-1-5-21-2099570745-4251971555-3330871750-164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45515"/>
    <w:rsid w:val="000769C1"/>
    <w:rsid w:val="000C2669"/>
    <w:rsid w:val="000E5808"/>
    <w:rsid w:val="00141C31"/>
    <w:rsid w:val="00177604"/>
    <w:rsid w:val="001B042D"/>
    <w:rsid w:val="001C53EE"/>
    <w:rsid w:val="001E4DFD"/>
    <w:rsid w:val="002113E8"/>
    <w:rsid w:val="00262C19"/>
    <w:rsid w:val="002676B6"/>
    <w:rsid w:val="00283099"/>
    <w:rsid w:val="002D5BFE"/>
    <w:rsid w:val="002E2E6F"/>
    <w:rsid w:val="002F077F"/>
    <w:rsid w:val="002F79C0"/>
    <w:rsid w:val="003200B2"/>
    <w:rsid w:val="00356BD2"/>
    <w:rsid w:val="003731A2"/>
    <w:rsid w:val="0038773B"/>
    <w:rsid w:val="003E5F63"/>
    <w:rsid w:val="00493FDC"/>
    <w:rsid w:val="00512456"/>
    <w:rsid w:val="0054551C"/>
    <w:rsid w:val="00560771"/>
    <w:rsid w:val="005751AB"/>
    <w:rsid w:val="005A4635"/>
    <w:rsid w:val="005C76DE"/>
    <w:rsid w:val="005E15BE"/>
    <w:rsid w:val="006140AE"/>
    <w:rsid w:val="0065709C"/>
    <w:rsid w:val="006E5E53"/>
    <w:rsid w:val="00751FC2"/>
    <w:rsid w:val="00796B37"/>
    <w:rsid w:val="007D6264"/>
    <w:rsid w:val="0084723D"/>
    <w:rsid w:val="008A5494"/>
    <w:rsid w:val="008B2D8A"/>
    <w:rsid w:val="008C626A"/>
    <w:rsid w:val="008E351E"/>
    <w:rsid w:val="008E45D5"/>
    <w:rsid w:val="00997F43"/>
    <w:rsid w:val="009D79E4"/>
    <w:rsid w:val="009E039C"/>
    <w:rsid w:val="00A018D6"/>
    <w:rsid w:val="00A56169"/>
    <w:rsid w:val="00A60C5F"/>
    <w:rsid w:val="00AB67C2"/>
    <w:rsid w:val="00AC7851"/>
    <w:rsid w:val="00B27E3F"/>
    <w:rsid w:val="00B43E8D"/>
    <w:rsid w:val="00B55CC6"/>
    <w:rsid w:val="00B71485"/>
    <w:rsid w:val="00B77B77"/>
    <w:rsid w:val="00C55EC2"/>
    <w:rsid w:val="00C82ACC"/>
    <w:rsid w:val="00CB7369"/>
    <w:rsid w:val="00CC41D9"/>
    <w:rsid w:val="00CE2E10"/>
    <w:rsid w:val="00CF0EFE"/>
    <w:rsid w:val="00CF2048"/>
    <w:rsid w:val="00D33333"/>
    <w:rsid w:val="00D334E6"/>
    <w:rsid w:val="00D42DB1"/>
    <w:rsid w:val="00D731CD"/>
    <w:rsid w:val="00DA2807"/>
    <w:rsid w:val="00DF7C0E"/>
    <w:rsid w:val="00E12131"/>
    <w:rsid w:val="00EC0401"/>
    <w:rsid w:val="00EE5660"/>
    <w:rsid w:val="00F11B91"/>
    <w:rsid w:val="00F73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5C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D914-DD95-494D-9DF9-5C3E3E7D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3734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4</cp:revision>
  <cp:lastPrinted>2021-04-07T00:48:00Z</cp:lastPrinted>
  <dcterms:created xsi:type="dcterms:W3CDTF">2021-04-07T00:48:00Z</dcterms:created>
  <dcterms:modified xsi:type="dcterms:W3CDTF">2021-04-07T00:48:00Z</dcterms:modified>
</cp:coreProperties>
</file>